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pple Chancery" w:cs="Apple Chancery" w:hAnsi="Apple Chancery" w:eastAsia="Apple Chancery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pple Chancery" w:hAnsi="Apple Chancery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Breckenridge Homeowner</w:t>
      </w:r>
      <w:r>
        <w:rPr>
          <w:rFonts w:ascii="Apple Chancery" w:hAnsi="Apple Chancery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pple Chancery" w:hAnsi="Apple Chancery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Association</w:t>
      </w:r>
    </w:p>
    <w:p>
      <w:pPr>
        <w:pStyle w:val="Title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100 Brownsridge Road, Madison, AL 35758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|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256.922.1080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Date: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July 9</w:t>
      </w:r>
      <w:r>
        <w:rPr>
          <w:b w:val="1"/>
          <w:bCs w:val="1"/>
          <w:sz w:val="24"/>
          <w:szCs w:val="24"/>
          <w:rtl w:val="0"/>
        </w:rPr>
        <w:t>, 20</w:t>
      </w:r>
      <w:r>
        <w:rPr>
          <w:b w:val="1"/>
          <w:bCs w:val="1"/>
          <w:sz w:val="24"/>
          <w:szCs w:val="24"/>
          <w:rtl w:val="0"/>
          <w:lang w:val="en-US"/>
        </w:rPr>
        <w:t>21</w:t>
      </w:r>
    </w:p>
    <w:p>
      <w:pPr>
        <w:pStyle w:val="Body"/>
        <w:spacing w:after="0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To:</w:t>
        <w:tab/>
      </w:r>
      <w:r>
        <w:rPr>
          <w:sz w:val="24"/>
          <w:szCs w:val="24"/>
          <w:rtl w:val="0"/>
          <w:lang w:val="en-US"/>
        </w:rPr>
        <w:t>Property Owner/Homeowner</w:t>
      </w: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Re:  </w:t>
      </w:r>
      <w:r>
        <w:rPr>
          <w:sz w:val="24"/>
          <w:szCs w:val="24"/>
          <w:rtl w:val="0"/>
          <w:lang w:val="en-US"/>
        </w:rPr>
        <w:t>Breckenridge HOA Dues Increase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This letter is to inform you that on July 8, 2021, the Breckenridge HOA Board voted to increase HOA dues from $78.00 per month to $80.00 per month effective January 1, 2022.</w:t>
      </w:r>
      <w:r>
        <w:rPr>
          <w:rFonts w:ascii="Georgia" w:hAnsi="Georgia" w:hint="default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This represents an increase of 2.56%.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Per the Breckenridge HOA by-laws, the HOA Board may increase HOA dues up to 5% to accommodate inflationary and incremental increases in expenses incurred by the HOA (Article VI, Section 3, Declaration of Covenants, Conditions and Restrictions).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HOA dues cover a myriad of expenses such as lawn care; trash removal; clubhouse, pool, and common area maintenance; and liability insurance.</w:t>
      </w:r>
      <w:r>
        <w:rPr>
          <w:rFonts w:ascii="Georgia" w:hAnsi="Georgia" w:hint="default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 decision to increase dues comes as a result of higher costs incurred for trash pick-up overages and other market price increases that, without raising HOA dues, could threaten to deplete our general fund.</w:t>
      </w:r>
      <w:r>
        <w:rPr>
          <w:rFonts w:ascii="Georgia" w:hAnsi="Georgia" w:hint="default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This decision also was based on the number of homeowners and property owners with past due balances owed to the HOA in excess of $16,000.00, to which property liens are currently being filed.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outline w:val="0"/>
          <w:color w:val="1f1f1e"/>
          <w:sz w:val="24"/>
          <w:szCs w:val="24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Georgia" w:hAnsi="Georgia"/>
          <w:outline w:val="0"/>
          <w:color w:val="1f1f1e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Please make any necessary preparations to pay the new HOA dues of $80.00 per month beginning January 1, 2022.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Sincerely,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Breckenridge Homeowner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fr-FR"/>
        </w:rPr>
        <w:t>s Association</w:t>
      </w:r>
    </w:p>
    <w:p>
      <w:pPr>
        <w:pStyle w:val="Body"/>
        <w:spacing w:after="0" w:line="240" w:lineRule="auto"/>
        <w:rPr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Management Company</w:t>
      </w:r>
    </w:p>
    <w:p>
      <w:pPr>
        <w:pStyle w:val="Body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Blevins Tax and Accounting LLC</w:t>
      </w:r>
    </w:p>
    <w:p>
      <w:pPr>
        <w:pStyle w:val="Body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256-880-9881</w:t>
      </w:r>
    </w:p>
    <w:p>
      <w:pPr>
        <w:pStyle w:val="Body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256-880-9811 (fax)</w:t>
      </w:r>
    </w:p>
    <w:p>
      <w:pPr>
        <w:pStyle w:val="Body"/>
        <w:spacing w:after="0" w:line="240" w:lineRule="auto"/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Link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52" w:right="1152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d16349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a4f64"/>
      <w:spacing w:val="5"/>
      <w:kern w:val="28"/>
      <w:position w:val="0"/>
      <w:sz w:val="52"/>
      <w:szCs w:val="52"/>
      <w:u w:val="none" w:color="4a4f64"/>
      <w:vertAlign w:val="baseline"/>
      <w:lang w:val="en-US"/>
      <w14:textOutline>
        <w14:noFill/>
      </w14:textOutline>
      <w14:textFill>
        <w14:solidFill>
          <w14:srgbClr w14:val="4A4F6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Civic">
  <a:themeElements>
    <a:clrScheme name="Civic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00FF"/>
      </a:hlink>
      <a:folHlink>
        <a:srgbClr val="FF00FF"/>
      </a:folHlink>
    </a:clrScheme>
    <a:fontScheme name="Civic">
      <a:majorFont>
        <a:latin typeface="Georgia"/>
        <a:ea typeface="Georgia"/>
        <a:cs typeface="Georgia"/>
      </a:majorFont>
      <a:minorFont>
        <a:latin typeface="Helvetica Neue"/>
        <a:ea typeface="Helvetica Neue"/>
        <a:cs typeface="Helvetica Neue"/>
      </a:minorFont>
    </a:fontScheme>
    <a:fmtScheme name="Civi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25400" dir="5400000">
              <a:srgbClr val="000000">
                <a:alpha val="45000"/>
              </a:srgbClr>
            </a:outerShdw>
          </a:effectLst>
        </a:effectStyle>
        <a:effectStyle>
          <a:effectLst>
            <a:outerShdw sx="100000" sy="100000" kx="0" ky="0" algn="b" rotWithShape="0" blurRad="50800" dist="25400" dir="5400000">
              <a:srgbClr val="000000">
                <a:alpha val="45000"/>
              </a:srgbClr>
            </a:outerShdw>
          </a:effectLst>
        </a:effectStyle>
        <a:effectStyle>
          <a:effectLst>
            <a:outerShdw sx="100000" sy="100000" kx="0" ky="0" algn="b" rotWithShape="0" blurRad="50800" dist="254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1429" cap="flat">
          <a:solidFill>
            <a:schemeClr val="accent1"/>
          </a:solidFill>
          <a:prstDash val="sysDash"/>
          <a:round/>
        </a:ln>
        <a:effectLst>
          <a:outerShdw sx="100000" sy="100000" kx="0" ky="0" algn="b" rotWithShape="0" blurRad="50800" dist="25400" dir="5400000">
            <a:srgbClr val="000000">
              <a:alpha val="4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1429" cap="flat">
          <a:solidFill>
            <a:schemeClr val="accent1"/>
          </a:solidFill>
          <a:prstDash val="sysDash"/>
          <a:round/>
        </a:ln>
        <a:effectLst>
          <a:outerShdw sx="100000" sy="100000" kx="0" ky="0" algn="b" rotWithShape="0" blurRad="50800" dist="254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